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36" w:lineRule="auto"/>
        <w:jc w:val="center"/>
        <w:rPr>
          <w:rFonts w:hint="eastAsia" w:ascii="ˎ̥" w:hAnsi="ˎ̥"/>
          <w:color w:val="3121FD"/>
          <w:sz w:val="30"/>
          <w:szCs w:val="30"/>
        </w:rPr>
      </w:pPr>
      <w:r>
        <w:rPr>
          <w:rFonts w:ascii="ˎ̥" w:hAnsi="ˎ̥"/>
          <w:b/>
          <w:bCs/>
          <w:color w:val="3121FD"/>
          <w:sz w:val="30"/>
          <w:szCs w:val="30"/>
        </w:rPr>
        <w:t>流体动力与机电系统国家重点实验室</w:t>
      </w:r>
      <w:r>
        <w:rPr>
          <w:rFonts w:hint="eastAsia" w:ascii="ˎ̥" w:hAnsi="ˎ̥"/>
          <w:b/>
          <w:bCs/>
          <w:color w:val="3121FD"/>
          <w:sz w:val="30"/>
          <w:szCs w:val="30"/>
          <w:lang w:val="en-US" w:eastAsia="zh-CN"/>
        </w:rPr>
        <w:t>2022</w:t>
      </w:r>
      <w:r>
        <w:rPr>
          <w:rFonts w:ascii="ˎ̥" w:hAnsi="ˎ̥"/>
          <w:b/>
          <w:bCs/>
          <w:color w:val="3121FD"/>
          <w:sz w:val="30"/>
          <w:szCs w:val="30"/>
        </w:rPr>
        <w:t>年开放基金申请指南</w:t>
      </w:r>
    </w:p>
    <w:p>
      <w:pPr>
        <w:pStyle w:val="5"/>
        <w:spacing w:line="336" w:lineRule="auto"/>
        <w:ind w:firstLine="480" w:firstLineChars="200"/>
        <w:jc w:val="both"/>
        <w:rPr>
          <w:rFonts w:hint="eastAsia" w:ascii="ˎ̥" w:hAnsi="ˎ̥"/>
          <w:color w:val="000000"/>
        </w:rPr>
      </w:pPr>
      <w:r>
        <w:rPr>
          <w:rFonts w:ascii="ˎ̥" w:hAnsi="ˎ̥"/>
          <w:color w:val="000000"/>
        </w:rPr>
        <w:t>为贯彻国家重点实验室</w:t>
      </w:r>
      <w:r>
        <w:rPr>
          <w:rFonts w:hint="eastAsia" w:ascii="ˎ̥" w:hAnsi="ˎ̥"/>
          <w:color w:val="000000"/>
        </w:rPr>
        <w:t>“</w:t>
      </w:r>
      <w:r>
        <w:rPr>
          <w:rFonts w:ascii="ˎ̥" w:hAnsi="ˎ̥"/>
          <w:color w:val="000000"/>
        </w:rPr>
        <w:t>开放、流动、联合、竞争”的方针，创造良好的科研条件和学术氛围，吸引、凝聚国内外优秀学者，共同研究、联合攻关，促进高水平成果产出，</w:t>
      </w:r>
      <w:r>
        <w:rPr>
          <w:rFonts w:hint="eastAsia" w:ascii="ˎ̥" w:hAnsi="ˎ̥"/>
          <w:color w:val="000000"/>
        </w:rPr>
        <w:t>浙江大学</w:t>
      </w:r>
      <w:r>
        <w:rPr>
          <w:rFonts w:ascii="ˎ̥" w:hAnsi="ˎ̥"/>
          <w:color w:val="000000"/>
        </w:rPr>
        <w:t>流体动力与机电系统国家重点实验室根据国家科技部《国家重点实验室专项经费管理办法》和《流体动力与机电系统国家重点实验室开放基金管理办法》的有关规定</w:t>
      </w:r>
      <w:r>
        <w:rPr>
          <w:rFonts w:hint="eastAsia" w:ascii="ˎ̥" w:hAnsi="ˎ̥"/>
          <w:color w:val="000000"/>
        </w:rPr>
        <w:t>，</w:t>
      </w:r>
      <w:r>
        <w:rPr>
          <w:rFonts w:ascii="ˎ̥" w:hAnsi="ˎ̥"/>
          <w:color w:val="000000"/>
        </w:rPr>
        <w:t>现公开发布</w:t>
      </w:r>
      <w:r>
        <w:rPr>
          <w:rFonts w:hint="eastAsia" w:ascii="ˎ̥" w:hAnsi="ˎ̥"/>
          <w:color w:val="000000"/>
          <w:lang w:val="en-US" w:eastAsia="zh-CN"/>
        </w:rPr>
        <w:t>2022</w:t>
      </w:r>
      <w:r>
        <w:rPr>
          <w:rFonts w:ascii="ˎ̥" w:hAnsi="ˎ̥"/>
          <w:color w:val="000000"/>
        </w:rPr>
        <w:t>年度开放基金课题申请指南。</w:t>
      </w:r>
    </w:p>
    <w:p>
      <w:pPr>
        <w:pStyle w:val="5"/>
        <w:spacing w:after="0" w:afterAutospacing="0" w:line="336" w:lineRule="auto"/>
        <w:jc w:val="both"/>
        <w:rPr>
          <w:rFonts w:hint="eastAsia" w:ascii="ˎ̥" w:hAnsi="ˎ̥"/>
          <w:b/>
          <w:color w:val="000000"/>
        </w:rPr>
      </w:pPr>
      <w:r>
        <w:rPr>
          <w:rFonts w:ascii="ˎ̥" w:hAnsi="ˎ̥"/>
          <w:b/>
          <w:color w:val="000000"/>
        </w:rPr>
        <w:t>一、指南内容</w:t>
      </w:r>
    </w:p>
    <w:p>
      <w:pPr>
        <w:pStyle w:val="5"/>
        <w:spacing w:after="0" w:afterAutospacing="0" w:line="336" w:lineRule="auto"/>
        <w:ind w:firstLine="480" w:firstLineChars="200"/>
        <w:jc w:val="both"/>
      </w:pPr>
      <w:r>
        <w:rPr>
          <w:rFonts w:ascii="ˎ̥" w:hAnsi="ˎ̥"/>
          <w:color w:val="000000"/>
        </w:rPr>
        <w:t>实验室开放基金课题应紧密围绕实验室重点研究方向，研究内容具有创新性。</w:t>
      </w:r>
      <w:r>
        <w:rPr>
          <w:rFonts w:hint="eastAsia" w:ascii="ˎ̥" w:hAnsi="ˎ̥"/>
          <w:color w:val="000000"/>
          <w:lang w:val="en-US" w:eastAsia="zh-CN"/>
        </w:rPr>
        <w:t>2022</w:t>
      </w:r>
      <w:r>
        <w:rPr>
          <w:rFonts w:ascii="ˎ̥" w:hAnsi="ˎ̥"/>
          <w:color w:val="000000"/>
        </w:rPr>
        <w:t>年</w:t>
      </w:r>
      <w:r>
        <w:rPr>
          <w:rFonts w:hint="eastAsia" w:ascii="ˎ̥" w:hAnsi="ˎ̥"/>
          <w:color w:val="000000"/>
        </w:rPr>
        <w:t>重点</w:t>
      </w:r>
      <w:r>
        <w:rPr>
          <w:rFonts w:ascii="ˎ̥" w:hAnsi="ˎ̥"/>
          <w:color w:val="000000"/>
        </w:rPr>
        <w:t>实验室开放基金课题重点支持以下方向</w:t>
      </w:r>
      <w:r>
        <w:rPr>
          <w:rFonts w:hint="eastAsia" w:ascii="ˎ̥" w:hAnsi="ˎ̥"/>
          <w:color w:val="000000"/>
        </w:rPr>
        <w:t>（</w:t>
      </w:r>
      <w:r>
        <w:rPr>
          <w:rFonts w:hint="eastAsia" w:ascii="黑体" w:hAnsi="黑体" w:eastAsia="黑体"/>
          <w:b/>
          <w:color w:val="000000"/>
        </w:rPr>
        <w:t>申请书应说明符合哪个研究内容，不相关的研究课题不予资助</w:t>
      </w:r>
      <w:r>
        <w:rPr>
          <w:rFonts w:hint="eastAsia" w:ascii="ˎ̥" w:hAnsi="ˎ̥"/>
          <w:color w:val="000000"/>
        </w:rPr>
        <w:t>）</w:t>
      </w:r>
      <w:r>
        <w:rPr>
          <w:rFonts w:ascii="ˎ̥" w:hAnsi="ˎ̥"/>
          <w:color w:val="000000"/>
        </w:rPr>
        <w:t>：</w:t>
      </w:r>
    </w:p>
    <w:p>
      <w:pPr>
        <w:pStyle w:val="5"/>
        <w:spacing w:line="336" w:lineRule="auto"/>
        <w:rPr>
          <w:rFonts w:hint="eastAsia" w:ascii="ˎ̥" w:hAnsi="ˎ̥"/>
          <w:color w:val="000000"/>
        </w:rPr>
      </w:pPr>
      <w:r>
        <w:rPr>
          <w:rFonts w:hint="eastAsia" w:ascii="ˎ̥" w:hAnsi="ˎ̥"/>
          <w:color w:val="000000"/>
        </w:rPr>
        <w:t>1）应用流体力学：围绕多相流及流场可视化、流体输送、调节与计量、微流控器件及系统等方向，研究流体动力学与多相流理论、空化理论与空泡动力学、流体振动与流动噪声等中的基础理论与实验方法。</w:t>
      </w:r>
    </w:p>
    <w:p>
      <w:pPr>
        <w:pStyle w:val="5"/>
        <w:spacing w:line="336" w:lineRule="auto"/>
        <w:rPr>
          <w:rFonts w:hint="eastAsia" w:ascii="ˎ̥" w:hAnsi="ˎ̥"/>
          <w:color w:val="000000"/>
        </w:rPr>
      </w:pPr>
      <w:r>
        <w:rPr>
          <w:rFonts w:hint="eastAsia" w:ascii="ˎ̥" w:hAnsi="ˎ̥"/>
          <w:color w:val="000000"/>
        </w:rPr>
        <w:t>2）流体传动与控制：面向复杂流体元件的先进设计，仿真与测试方法、高效集成的电液与电气控制系统、智能化流体动力元件与系统等领域，研究高性能流体动力元件、电液系统集成与控制、气动元件及系统等设计及制造中的基础理论、设计方法与制造工艺。</w:t>
      </w:r>
    </w:p>
    <w:p>
      <w:pPr>
        <w:pStyle w:val="5"/>
        <w:spacing w:line="336" w:lineRule="auto"/>
        <w:rPr>
          <w:rFonts w:hint="eastAsia" w:ascii="ˎ̥" w:hAnsi="ˎ̥"/>
          <w:color w:val="000000"/>
        </w:rPr>
      </w:pPr>
      <w:r>
        <w:rPr>
          <w:rFonts w:hint="eastAsia" w:ascii="ˎ̥" w:hAnsi="ˎ̥"/>
          <w:color w:val="000000"/>
        </w:rPr>
        <w:t>3）机电系统创新设计：聚集虚拟设计与数字孪生、原型及定制化设计及可靠性设计等领域，研究重大机电装备创新设计、数字化设计、个性化定制设计、可靠性与优化设计与材料-功能-结构一体化设计等的基础理论及方法。</w:t>
      </w:r>
    </w:p>
    <w:p>
      <w:pPr>
        <w:pStyle w:val="5"/>
        <w:spacing w:line="336" w:lineRule="auto"/>
        <w:rPr>
          <w:rFonts w:hint="eastAsia" w:ascii="ˎ̥" w:hAnsi="ˎ̥"/>
          <w:color w:val="000000"/>
        </w:rPr>
      </w:pPr>
      <w:r>
        <w:rPr>
          <w:rFonts w:hint="eastAsia" w:ascii="ˎ̥" w:hAnsi="ˎ̥"/>
          <w:color w:val="000000"/>
        </w:rPr>
        <w:t>4）机电系统感知与控制：面向重大装备的动力学建模与优化、状态检测与故障诊断、先进控制等需求，研究机电液系统动力学建模与优化、状态监测、故障诊断、性能预测、先进检测与控制等中的基础理论及方法。</w:t>
      </w:r>
    </w:p>
    <w:p>
      <w:pPr>
        <w:pStyle w:val="5"/>
        <w:spacing w:line="336" w:lineRule="auto"/>
        <w:jc w:val="both"/>
        <w:rPr>
          <w:rFonts w:hint="eastAsia" w:ascii="ˎ̥" w:hAnsi="ˎ̥"/>
          <w:color w:val="000000"/>
        </w:rPr>
      </w:pPr>
      <w:r>
        <w:rPr>
          <w:rFonts w:hint="eastAsia" w:ascii="ˎ̥" w:hAnsi="ˎ̥"/>
          <w:color w:val="000000"/>
        </w:rPr>
        <w:t>5）机电系统先进制造：针对高性能高可靠的机电部件制造、精密与微纳制造、生物制造、增材制造、复合材料制造、机电系统集成与数字化制造等方向，研究制造过程中传热、传质行为、界面调控、批量及稳定品控、在高可靠性、超大尺寸、微纳尺度与生物活性等约束条件下的制造新原理、新方法，探索成形规律。</w:t>
      </w:r>
    </w:p>
    <w:p>
      <w:pPr>
        <w:pStyle w:val="5"/>
        <w:spacing w:line="336" w:lineRule="auto"/>
        <w:jc w:val="both"/>
        <w:rPr>
          <w:rFonts w:hint="eastAsia" w:ascii="ˎ̥" w:hAnsi="ˎ̥"/>
          <w:b/>
          <w:color w:val="000000"/>
        </w:rPr>
      </w:pPr>
      <w:r>
        <w:rPr>
          <w:rFonts w:ascii="ˎ̥" w:hAnsi="ˎ̥"/>
          <w:b/>
          <w:color w:val="000000"/>
        </w:rPr>
        <w:t>二、申请办法</w:t>
      </w:r>
    </w:p>
    <w:p>
      <w:pPr>
        <w:pStyle w:val="5"/>
        <w:spacing w:before="156" w:beforeLines="50" w:beforeAutospacing="0" w:after="0" w:afterAutospacing="0" w:line="336" w:lineRule="auto"/>
        <w:ind w:firstLine="480" w:firstLineChars="200"/>
        <w:jc w:val="both"/>
        <w:rPr>
          <w:rFonts w:hint="eastAsia" w:ascii="ˎ̥" w:hAnsi="ˎ̥"/>
          <w:color w:val="000000"/>
        </w:rPr>
      </w:pPr>
      <w:r>
        <w:rPr>
          <w:rFonts w:ascii="ˎ̥" w:hAnsi="ˎ̥"/>
          <w:color w:val="000000"/>
        </w:rPr>
        <w:t>1）申请人需为具有博士学位或副高以上职称的</w:t>
      </w:r>
      <w:r>
        <w:rPr>
          <w:rFonts w:hint="eastAsia" w:ascii="ˎ̥" w:hAnsi="ˎ̥"/>
          <w:color w:val="000000"/>
        </w:rPr>
        <w:t>海内外学者</w:t>
      </w:r>
      <w:r>
        <w:rPr>
          <w:rFonts w:ascii="ˎ̥" w:hAnsi="ˎ̥"/>
          <w:color w:val="000000"/>
        </w:rPr>
        <w:t>，</w:t>
      </w:r>
      <w:r>
        <w:rPr>
          <w:rFonts w:hint="eastAsia" w:ascii="ˎ̥" w:hAnsi="ˎ̥"/>
          <w:color w:val="000000"/>
        </w:rPr>
        <w:t>尤其鼓励海外、国内C9和985高校的优秀学者进行申报。</w:t>
      </w:r>
      <w:r>
        <w:rPr>
          <w:rFonts w:ascii="ˎ̥" w:hAnsi="ˎ̥"/>
          <w:color w:val="000000"/>
        </w:rPr>
        <w:t>按照规定格式实事求是填写《流体动力与机电系统国家重点实验室开放基金课题申请书》，已有在研开放基金不得重复申请</w:t>
      </w:r>
      <w:r>
        <w:rPr>
          <w:rFonts w:hint="eastAsia" w:ascii="ˎ̥" w:hAnsi="ˎ̥"/>
          <w:color w:val="000000"/>
        </w:rPr>
        <w:t>（滚动支持的除外）</w:t>
      </w:r>
      <w:r>
        <w:rPr>
          <w:rFonts w:ascii="ˎ̥" w:hAnsi="ˎ̥"/>
          <w:color w:val="000000"/>
        </w:rPr>
        <w:t>。</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2</w:t>
      </w:r>
      <w:r>
        <w:rPr>
          <w:rFonts w:ascii="ˎ̥" w:hAnsi="ˎ̥"/>
          <w:color w:val="000000"/>
        </w:rPr>
        <w:t>）申请者应于当年指南发布截止期限内将申请书（纸质材料一式三份，同时递交相应电子文档）报送本</w:t>
      </w:r>
      <w:r>
        <w:rPr>
          <w:rFonts w:hint="eastAsia" w:ascii="ˎ̥" w:hAnsi="ˎ̥"/>
          <w:color w:val="000000"/>
        </w:rPr>
        <w:t>国家重点</w:t>
      </w:r>
      <w:r>
        <w:rPr>
          <w:rFonts w:ascii="ˎ̥" w:hAnsi="ˎ̥"/>
          <w:color w:val="000000"/>
        </w:rPr>
        <w:t>实验室，申请者所在单位对申请者的能力与水平以及申请的内容进行审查，提出推荐意见，承诺对申请者的时间和条件给予支持与保证，并加盖单位公章。</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3）开放基金支持强度5-</w:t>
      </w:r>
      <w:r>
        <w:rPr>
          <w:rFonts w:ascii="宋体" w:hAnsi="宋体" w:eastAsia="宋体" w:cs="宋体"/>
          <w:kern w:val="0"/>
          <w:sz w:val="24"/>
          <w:szCs w:val="24"/>
        </w:rPr>
        <w:t>8</w:t>
      </w:r>
      <w:r>
        <w:rPr>
          <w:rFonts w:hint="eastAsia" w:ascii="宋体" w:hAnsi="宋体" w:eastAsia="宋体" w:cs="宋体"/>
          <w:kern w:val="0"/>
          <w:sz w:val="24"/>
          <w:szCs w:val="24"/>
        </w:rPr>
        <w:t>万。为加强开放及联合，负责人要求为非浙江大学具有博士学位或副高以上职称的海内外学者承担，优先支持重点实验室成员作为联合申请人，对于海外研究人员，必须要有重点实验室成员参与联合申请。</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4</w:t>
      </w:r>
      <w:r>
        <w:rPr>
          <w:rFonts w:ascii="ˎ̥" w:hAnsi="ˎ̥"/>
          <w:color w:val="000000"/>
        </w:rPr>
        <w:t>）开放基金课题研究年限为</w:t>
      </w:r>
      <w:r>
        <w:rPr>
          <w:rFonts w:hint="eastAsia" w:ascii="ˎ̥" w:hAnsi="ˎ̥"/>
          <w:color w:val="000000"/>
        </w:rPr>
        <w:t>2年。</w:t>
      </w:r>
      <w:r>
        <w:rPr>
          <w:rFonts w:ascii="ˎ̥" w:hAnsi="ˎ̥"/>
          <w:color w:val="000000"/>
        </w:rPr>
        <w:t>研究计划一经确定，必须认真执行。</w:t>
      </w:r>
      <w:r>
        <w:rPr>
          <w:rFonts w:hint="eastAsia" w:ascii="ˎ̥" w:hAnsi="ˎ̥"/>
          <w:color w:val="000000"/>
        </w:rPr>
        <w:t>每年须按要求向重点实验室提交课题进展报告。</w:t>
      </w:r>
      <w:r>
        <w:rPr>
          <w:rFonts w:ascii="ˎ̥" w:hAnsi="ˎ̥"/>
          <w:color w:val="000000"/>
        </w:rPr>
        <w:t>如需要变更，需提前3个月提交书面申请，经学术委员会同意、并得到实验室主任批准后方可执行。</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5</w:t>
      </w:r>
      <w:r>
        <w:rPr>
          <w:rFonts w:ascii="ˎ̥" w:hAnsi="ˎ̥"/>
          <w:color w:val="000000"/>
        </w:rPr>
        <w:t>）课题申请得到批准后，申请者应与流体动力与机电系统国家重点实验室签订协议，按协议计划进行工作，接受实验室的检查和监督。</w:t>
      </w:r>
      <w:r>
        <w:rPr>
          <w:rFonts w:hint="eastAsia" w:ascii="ˎ̥" w:hAnsi="ˎ̥"/>
          <w:color w:val="000000"/>
        </w:rPr>
        <w:t>课题执行期间，课题负责</w:t>
      </w:r>
      <w:r>
        <w:rPr>
          <w:rFonts w:ascii="ˎ̥" w:hAnsi="ˎ̥"/>
          <w:color w:val="000000"/>
        </w:rPr>
        <w:t>人或课题组成员</w:t>
      </w:r>
      <w:r>
        <w:rPr>
          <w:rFonts w:hint="eastAsia" w:ascii="ˎ̥" w:hAnsi="ˎ̥"/>
          <w:color w:val="000000"/>
        </w:rPr>
        <w:t>应积极参加国家重点</w:t>
      </w:r>
      <w:r>
        <w:rPr>
          <w:rFonts w:ascii="ˎ̥" w:hAnsi="ˎ̥"/>
          <w:color w:val="000000"/>
        </w:rPr>
        <w:t>实验室</w:t>
      </w:r>
      <w:r>
        <w:rPr>
          <w:rFonts w:hint="eastAsia" w:ascii="ˎ̥" w:hAnsi="ˎ̥"/>
          <w:color w:val="000000"/>
        </w:rPr>
        <w:t>举办的国际</w:t>
      </w:r>
      <w:r>
        <w:rPr>
          <w:rFonts w:ascii="ˎ̥" w:hAnsi="ˎ̥"/>
          <w:color w:val="000000"/>
        </w:rPr>
        <w:t>学术</w:t>
      </w:r>
      <w:r>
        <w:rPr>
          <w:rFonts w:hint="eastAsia" w:ascii="ˎ̥" w:hAnsi="ˎ̥"/>
          <w:color w:val="000000"/>
        </w:rPr>
        <w:t>会议</w:t>
      </w:r>
      <w:r>
        <w:rPr>
          <w:rFonts w:ascii="ˎ̥" w:hAnsi="ˎ̥"/>
          <w:color w:val="000000"/>
        </w:rPr>
        <w:t>。</w:t>
      </w:r>
      <w:r>
        <w:rPr>
          <w:rFonts w:hint="eastAsia" w:ascii="ˎ̥" w:hAnsi="ˎ̥"/>
          <w:color w:val="000000"/>
        </w:rPr>
        <w:t>课题研究所获得的成果由实验室和申请者及其所在单位共享，论文署名单位须包括流体动力与机电系统国家重点实验室（英文名称为the State Key Laboratory of Fluid Power and Mechatronic Systems）（至少为第二单位），无标注国重单位名称的成果不计入课题成果数量，</w:t>
      </w:r>
      <w:r>
        <w:rPr>
          <w:rFonts w:hint="eastAsia"/>
        </w:rPr>
        <w:t>对于海外研究人员，要求是联合发表的论文</w:t>
      </w:r>
      <w:r>
        <w:rPr>
          <w:rFonts w:hint="eastAsia" w:ascii="黑体" w:hAnsi="黑体" w:eastAsia="黑体"/>
          <w:b/>
        </w:rPr>
        <w:t>。</w:t>
      </w:r>
      <w:r>
        <w:rPr>
          <w:rFonts w:hint="eastAsia" w:ascii="ˎ̥" w:hAnsi="ˎ̥"/>
          <w:color w:val="000000"/>
        </w:rPr>
        <w:t>课题相关成果或论文发表必须标注“流体动力与机电系统国家重点实验室开放基金课题资助”，英文论文应标注“Funded by Open Foundation of the State Key Laboratory of Fluid Power and Mechatronic Systems”。</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6）</w:t>
      </w:r>
      <w:r>
        <w:rPr>
          <w:rFonts w:hint="eastAsia" w:ascii="ˎ̥" w:hAnsi="ˎ̥"/>
          <w:color w:val="000000"/>
          <w:lang w:val="en-US" w:eastAsia="zh-CN"/>
        </w:rPr>
        <w:t>2022</w:t>
      </w:r>
      <w:r>
        <w:rPr>
          <w:rFonts w:ascii="ˎ̥" w:hAnsi="ˎ̥"/>
          <w:color w:val="000000"/>
        </w:rPr>
        <w:t>年的项目申请的受理时间为从本指南发布之日起至</w:t>
      </w:r>
      <w:r>
        <w:rPr>
          <w:rFonts w:hint="eastAsia" w:ascii="ˎ̥" w:hAnsi="ˎ̥"/>
          <w:color w:val="000000"/>
          <w:lang w:val="en-US" w:eastAsia="zh-CN"/>
        </w:rPr>
        <w:t>2022</w:t>
      </w:r>
      <w:r>
        <w:rPr>
          <w:rFonts w:hint="eastAsia" w:ascii="ˎ̥" w:hAnsi="ˎ̥"/>
          <w:color w:val="000000"/>
        </w:rPr>
        <w:t>年</w:t>
      </w:r>
      <w:r>
        <w:rPr>
          <w:rFonts w:ascii="ˎ̥" w:hAnsi="ˎ̥"/>
          <w:color w:val="000000"/>
        </w:rPr>
        <w:t>10月31日，逾期不予受理。</w:t>
      </w:r>
    </w:p>
    <w:p>
      <w:pPr>
        <w:pStyle w:val="5"/>
        <w:spacing w:before="0" w:beforeAutospacing="0" w:after="0" w:afterAutospacing="0" w:line="336" w:lineRule="auto"/>
        <w:rPr>
          <w:rFonts w:hint="eastAsia"/>
        </w:rPr>
      </w:pPr>
      <w:r>
        <w:rPr>
          <w:rFonts w:ascii="ˎ̥" w:hAnsi="ˎ̥"/>
          <w:color w:val="000000"/>
        </w:rPr>
        <w:t>联系人：</w:t>
      </w:r>
      <w:r>
        <w:rPr>
          <w:rFonts w:hint="eastAsia" w:ascii="ˎ̥" w:hAnsi="ˎ̥"/>
          <w:color w:val="000000"/>
          <w:lang w:eastAsia="zh-CN"/>
        </w:rPr>
        <w:t>陈洁</w:t>
      </w:r>
      <w:r>
        <w:rPr>
          <w:rFonts w:ascii="ˎ̥" w:hAnsi="ˎ̥"/>
          <w:color w:val="000000"/>
        </w:rPr>
        <w:t>电子信箱：</w:t>
      </w:r>
      <w:r>
        <w:rPr>
          <w:rFonts w:hint="eastAsia"/>
        </w:rPr>
        <w:fldChar w:fldCharType="begin"/>
      </w:r>
      <w:r>
        <w:rPr>
          <w:rFonts w:hint="eastAsia"/>
        </w:rPr>
        <w:instrText xml:space="preserve"> HYPERLINK "mailto:chenj11@zju.edu.cn" </w:instrText>
      </w:r>
      <w:r>
        <w:rPr>
          <w:rFonts w:hint="eastAsia"/>
        </w:rPr>
        <w:fldChar w:fldCharType="separate"/>
      </w:r>
      <w:r>
        <w:rPr>
          <w:rStyle w:val="8"/>
          <w:rFonts w:hint="eastAsia"/>
        </w:rPr>
        <w:t>chenj11@zju.edu.cn</w:t>
      </w:r>
      <w:r>
        <w:rPr>
          <w:rFonts w:hint="eastAsia"/>
        </w:rPr>
        <w:fldChar w:fldCharType="end"/>
      </w:r>
    </w:p>
    <w:p>
      <w:pPr>
        <w:pStyle w:val="5"/>
        <w:spacing w:before="0" w:beforeAutospacing="0" w:after="0" w:afterAutospacing="0" w:line="336" w:lineRule="auto"/>
        <w:rPr>
          <w:rFonts w:hint="eastAsia" w:ascii="ˎ̥" w:hAnsi="ˎ̥"/>
          <w:color w:val="000000"/>
        </w:rPr>
      </w:pPr>
      <w:r>
        <w:rPr>
          <w:rFonts w:ascii="ˎ̥" w:hAnsi="ˎ̥"/>
          <w:color w:val="000000"/>
        </w:rPr>
        <w:t>通讯地址：</w:t>
      </w:r>
      <w:r>
        <w:rPr>
          <w:rFonts w:hint="eastAsia" w:ascii="宋体" w:hAnsi="宋体" w:eastAsia="宋体" w:cs="宋体"/>
          <w:i w:val="0"/>
          <w:iCs w:val="0"/>
          <w:caps w:val="0"/>
          <w:color w:val="333333"/>
          <w:spacing w:val="0"/>
          <w:sz w:val="24"/>
          <w:szCs w:val="24"/>
        </w:rPr>
        <w:t>杭州市西湖区余杭塘路866号浙江大学紫金港校区开物苑5号楼311室</w:t>
      </w:r>
      <w:r>
        <w:rPr>
          <w:rFonts w:hint="eastAsia" w:ascii="ˎ̥" w:hAnsi="ˎ̥"/>
          <w:color w:val="000000"/>
        </w:rPr>
        <w:t>，</w:t>
      </w:r>
      <w:r>
        <w:rPr>
          <w:rFonts w:ascii="ˎ̥" w:hAnsi="ˎ̥"/>
          <w:color w:val="000000"/>
        </w:rPr>
        <w:t>邮编：310027电话：0571-879522</w:t>
      </w:r>
      <w:r>
        <w:rPr>
          <w:rFonts w:hint="eastAsia" w:ascii="ˎ̥" w:hAnsi="ˎ̥"/>
          <w:color w:val="000000"/>
        </w:rPr>
        <w:t>74</w:t>
      </w:r>
      <w:r>
        <w:rPr>
          <w:rFonts w:ascii="ˎ̥" w:hAnsi="ˎ̥"/>
          <w:color w:val="000000"/>
        </w:rPr>
        <w:t>；传真：0571-87951941；</w:t>
      </w:r>
    </w:p>
    <w:p>
      <w:pPr>
        <w:pStyle w:val="5"/>
        <w:spacing w:before="0" w:beforeAutospacing="0" w:after="0" w:afterAutospacing="0" w:line="336" w:lineRule="auto"/>
        <w:rPr>
          <w:rFonts w:hint="eastAsia" w:ascii="ˎ̥" w:hAnsi="ˎ̥"/>
          <w:color w:val="000000"/>
        </w:rPr>
      </w:pPr>
      <w:r>
        <w:rPr>
          <w:rFonts w:hint="eastAsia" w:ascii="ˎ̥" w:hAnsi="ˎ̥"/>
          <w:color w:val="000000"/>
        </w:rPr>
        <w:t>网址：</w:t>
      </w:r>
      <w:r>
        <w:rPr>
          <w:rFonts w:ascii="ˎ̥" w:hAnsi="ˎ̥"/>
          <w:color w:val="000000"/>
        </w:rPr>
        <w:t>http://sklofp.zju.edu.cn/skl/</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2MzO2sDQ3MbE0NzZT0lEKTi0uzszPAykwrAUAVC6MrywAAAA="/>
    <w:docVar w:name="commondata" w:val="eyJoZGlkIjoiMzUzYTZiMTY3NThkYTMxZDhhMmViNWU1MmM0ODJlYmEifQ=="/>
  </w:docVars>
  <w:rsids>
    <w:rsidRoot w:val="00990690"/>
    <w:rsid w:val="000136BA"/>
    <w:rsid w:val="000306EA"/>
    <w:rsid w:val="00042F42"/>
    <w:rsid w:val="000A7290"/>
    <w:rsid w:val="000B5804"/>
    <w:rsid w:val="00145458"/>
    <w:rsid w:val="001468E6"/>
    <w:rsid w:val="00156A5D"/>
    <w:rsid w:val="001731D7"/>
    <w:rsid w:val="0023354B"/>
    <w:rsid w:val="00240E4D"/>
    <w:rsid w:val="00281779"/>
    <w:rsid w:val="00287A41"/>
    <w:rsid w:val="00294DC0"/>
    <w:rsid w:val="002D71CB"/>
    <w:rsid w:val="00357A09"/>
    <w:rsid w:val="00421769"/>
    <w:rsid w:val="00422E65"/>
    <w:rsid w:val="004306E0"/>
    <w:rsid w:val="00437A59"/>
    <w:rsid w:val="00444AE8"/>
    <w:rsid w:val="00461CC0"/>
    <w:rsid w:val="00463D3F"/>
    <w:rsid w:val="004704DE"/>
    <w:rsid w:val="0048133B"/>
    <w:rsid w:val="00492A72"/>
    <w:rsid w:val="004A5884"/>
    <w:rsid w:val="004D6887"/>
    <w:rsid w:val="005170D1"/>
    <w:rsid w:val="005256E9"/>
    <w:rsid w:val="00527F93"/>
    <w:rsid w:val="005475E2"/>
    <w:rsid w:val="0056231B"/>
    <w:rsid w:val="005B5A75"/>
    <w:rsid w:val="005C1268"/>
    <w:rsid w:val="005C42E1"/>
    <w:rsid w:val="00616268"/>
    <w:rsid w:val="006D6A2F"/>
    <w:rsid w:val="006E772E"/>
    <w:rsid w:val="007139CF"/>
    <w:rsid w:val="0073628E"/>
    <w:rsid w:val="00784D6B"/>
    <w:rsid w:val="007D0F22"/>
    <w:rsid w:val="007F6EF9"/>
    <w:rsid w:val="0083393F"/>
    <w:rsid w:val="0084569F"/>
    <w:rsid w:val="00865202"/>
    <w:rsid w:val="0087570F"/>
    <w:rsid w:val="008815BA"/>
    <w:rsid w:val="008B1CB0"/>
    <w:rsid w:val="008D4DC1"/>
    <w:rsid w:val="00905DA7"/>
    <w:rsid w:val="009426F3"/>
    <w:rsid w:val="00942AF1"/>
    <w:rsid w:val="00990690"/>
    <w:rsid w:val="009C39F3"/>
    <w:rsid w:val="009C4FC8"/>
    <w:rsid w:val="009F569D"/>
    <w:rsid w:val="009F64BB"/>
    <w:rsid w:val="00A07066"/>
    <w:rsid w:val="00A12CA6"/>
    <w:rsid w:val="00A33B6C"/>
    <w:rsid w:val="00A436A9"/>
    <w:rsid w:val="00AF6879"/>
    <w:rsid w:val="00B164E3"/>
    <w:rsid w:val="00B35BCC"/>
    <w:rsid w:val="00B37853"/>
    <w:rsid w:val="00B44968"/>
    <w:rsid w:val="00B46692"/>
    <w:rsid w:val="00BE62D9"/>
    <w:rsid w:val="00C66361"/>
    <w:rsid w:val="00C8339B"/>
    <w:rsid w:val="00CB768A"/>
    <w:rsid w:val="00CD5FB0"/>
    <w:rsid w:val="00CE4C7E"/>
    <w:rsid w:val="00D02A34"/>
    <w:rsid w:val="00D4027D"/>
    <w:rsid w:val="00D9413E"/>
    <w:rsid w:val="00DB10D7"/>
    <w:rsid w:val="00DC7871"/>
    <w:rsid w:val="00DE1A8C"/>
    <w:rsid w:val="00E14C93"/>
    <w:rsid w:val="00E241E4"/>
    <w:rsid w:val="00E42F2C"/>
    <w:rsid w:val="00E53F62"/>
    <w:rsid w:val="00E63F14"/>
    <w:rsid w:val="00E963F0"/>
    <w:rsid w:val="00EA27C8"/>
    <w:rsid w:val="00ED1B06"/>
    <w:rsid w:val="00EE475A"/>
    <w:rsid w:val="00F14AFE"/>
    <w:rsid w:val="00F171F1"/>
    <w:rsid w:val="00F41537"/>
    <w:rsid w:val="00F71BA7"/>
    <w:rsid w:val="00FD4A84"/>
    <w:rsid w:val="00FF1E7B"/>
    <w:rsid w:val="29A15A5F"/>
    <w:rsid w:val="2CD13350"/>
    <w:rsid w:val="3B001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wzzx</Company>
  <Pages>3</Pages>
  <Words>1650</Words>
  <Characters>1856</Characters>
  <Lines>13</Lines>
  <Paragraphs>3</Paragraphs>
  <TotalTime>122</TotalTime>
  <ScaleCrop>false</ScaleCrop>
  <LinksUpToDate>false</LinksUpToDate>
  <CharactersWithSpaces>1879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2020-08-13T02:57:00Z</dcterms:created>
  <dc:creator>OPT</dc:creator>
  <cp:lastModifiedBy>不喝可乐的猫</cp:lastModifiedBy>
  <dcterms:modified xsi:type="dcterms:W3CDTF">2022-10-25T02:08:24Z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51CC2470724B43639A65C7600E4BC81C</vt:lpwstr>
  </property>
</Properties>
</file>